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DD" w:rsidRPr="00A77440" w:rsidRDefault="00C62ADD" w:rsidP="00C62ADD">
      <w:pPr>
        <w:pStyle w:val="Default"/>
        <w:jc w:val="center"/>
        <w:rPr>
          <w:b/>
          <w:color w:val="auto"/>
          <w:sz w:val="20"/>
          <w:szCs w:val="20"/>
        </w:rPr>
      </w:pPr>
      <w:r w:rsidRPr="00A77440">
        <w:rPr>
          <w:b/>
          <w:color w:val="auto"/>
          <w:sz w:val="20"/>
          <w:szCs w:val="20"/>
        </w:rPr>
        <w:t>PARK ELEKTRİK ÜRETİM MADENCİLİK SAN. VE TİC. A.Ş.’NİN</w:t>
      </w:r>
    </w:p>
    <w:p w:rsidR="00C62ADD" w:rsidRPr="00A77440" w:rsidRDefault="0083114E" w:rsidP="00C62ADD">
      <w:pPr>
        <w:pStyle w:val="Default"/>
        <w:jc w:val="center"/>
        <w:rPr>
          <w:b/>
          <w:color w:val="auto"/>
          <w:sz w:val="20"/>
          <w:szCs w:val="20"/>
        </w:rPr>
      </w:pPr>
      <w:r>
        <w:rPr>
          <w:b/>
          <w:color w:val="auto"/>
          <w:sz w:val="20"/>
          <w:szCs w:val="20"/>
        </w:rPr>
        <w:t xml:space="preserve">14 MAYIS 2015 </w:t>
      </w:r>
      <w:r w:rsidR="00C62ADD" w:rsidRPr="00A77440">
        <w:rPr>
          <w:b/>
          <w:color w:val="auto"/>
          <w:sz w:val="20"/>
          <w:szCs w:val="20"/>
        </w:rPr>
        <w:t>TARİHLİ</w:t>
      </w:r>
    </w:p>
    <w:p w:rsidR="00C62ADD" w:rsidRPr="00A77440" w:rsidRDefault="0083114E" w:rsidP="00C62ADD">
      <w:pPr>
        <w:pStyle w:val="Default"/>
        <w:jc w:val="center"/>
        <w:rPr>
          <w:b/>
          <w:color w:val="auto"/>
          <w:sz w:val="20"/>
          <w:szCs w:val="20"/>
        </w:rPr>
      </w:pPr>
      <w:r>
        <w:rPr>
          <w:b/>
          <w:color w:val="auto"/>
          <w:sz w:val="20"/>
          <w:szCs w:val="20"/>
        </w:rPr>
        <w:t xml:space="preserve">2014 YILI </w:t>
      </w:r>
      <w:r w:rsidR="00C62ADD" w:rsidRPr="00A77440">
        <w:rPr>
          <w:b/>
          <w:color w:val="auto"/>
          <w:sz w:val="20"/>
          <w:szCs w:val="20"/>
        </w:rPr>
        <w:t>OLAĞAN GENEL KURUL GÜNDEMİNE İLİŞKİN AÇIKLAMALARIMIZ</w:t>
      </w:r>
    </w:p>
    <w:p w:rsidR="00C62ADD" w:rsidRDefault="00C62ADD" w:rsidP="00C62ADD">
      <w:pPr>
        <w:pStyle w:val="Default"/>
        <w:rPr>
          <w:color w:val="auto"/>
          <w:sz w:val="20"/>
          <w:szCs w:val="20"/>
        </w:rPr>
      </w:pPr>
    </w:p>
    <w:p w:rsidR="0058650A" w:rsidRPr="00A77440" w:rsidRDefault="0058650A" w:rsidP="00C62ADD">
      <w:pPr>
        <w:pStyle w:val="Default"/>
        <w:rPr>
          <w:color w:val="auto"/>
          <w:sz w:val="20"/>
          <w:szCs w:val="20"/>
        </w:rPr>
      </w:pPr>
    </w:p>
    <w:p w:rsidR="00C62ADD" w:rsidRPr="00ED4507" w:rsidRDefault="00C62ADD" w:rsidP="00C62ADD">
      <w:pPr>
        <w:pStyle w:val="ListParagraph"/>
        <w:autoSpaceDE w:val="0"/>
        <w:autoSpaceDN w:val="0"/>
        <w:ind w:left="0"/>
        <w:jc w:val="both"/>
        <w:rPr>
          <w:rFonts w:ascii="Times New Roman" w:hAnsi="Times New Roman" w:cs="Times New Roman"/>
          <w:b/>
          <w:sz w:val="20"/>
          <w:szCs w:val="20"/>
        </w:rPr>
      </w:pPr>
      <w:r w:rsidRPr="00ED4507">
        <w:rPr>
          <w:rFonts w:ascii="Times New Roman" w:hAnsi="Times New Roman" w:cs="Times New Roman"/>
          <w:b/>
          <w:sz w:val="20"/>
          <w:szCs w:val="20"/>
        </w:rPr>
        <w:t xml:space="preserve">1. </w:t>
      </w:r>
      <w:r>
        <w:rPr>
          <w:rFonts w:ascii="Times New Roman" w:hAnsi="Times New Roman" w:cs="Times New Roman"/>
          <w:b/>
          <w:sz w:val="20"/>
          <w:szCs w:val="20"/>
        </w:rPr>
        <w:t xml:space="preserve"> </w:t>
      </w:r>
      <w:r w:rsidRPr="00ED4507">
        <w:rPr>
          <w:rFonts w:ascii="Times New Roman" w:hAnsi="Times New Roman" w:cs="Times New Roman"/>
          <w:b/>
          <w:sz w:val="20"/>
          <w:szCs w:val="20"/>
        </w:rPr>
        <w:t>Açılış ve Başkanlık Divanı'nın seçilmesi,</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 xml:space="preserve">“Türk Ticaret Kanunu” (TTK) ve “Sermaye şirketlerinin Genel Kurul Toplantıları” ve bu toplantılarda bulunacak Sanayi ve Ticaret Bakanlığı Komiserleri Hakkında Yönetmelik” (Yönetmelik) hükümleri çerçevesinde Genel Kurul toplantısını yönetecek Başkan ve Başkanlık Divanı’nın seçimi gerçekleştirilecektir. </w:t>
      </w:r>
    </w:p>
    <w:p w:rsidR="00C62ADD" w:rsidRPr="00ED4507" w:rsidRDefault="00C62ADD" w:rsidP="00C62ADD">
      <w:pPr>
        <w:pStyle w:val="Default"/>
        <w:rPr>
          <w:color w:val="auto"/>
          <w:sz w:val="20"/>
          <w:szCs w:val="20"/>
        </w:rPr>
      </w:pPr>
    </w:p>
    <w:p w:rsidR="00C62ADD" w:rsidRPr="00ED4507" w:rsidRDefault="00C62ADD" w:rsidP="00C62ADD">
      <w:pPr>
        <w:pStyle w:val="Default"/>
        <w:rPr>
          <w:b/>
          <w:color w:val="auto"/>
          <w:sz w:val="20"/>
          <w:szCs w:val="20"/>
        </w:rPr>
      </w:pPr>
      <w:r w:rsidRPr="00ED4507">
        <w:rPr>
          <w:b/>
          <w:color w:val="auto"/>
          <w:sz w:val="20"/>
          <w:szCs w:val="20"/>
        </w:rPr>
        <w:t xml:space="preserve">2. </w:t>
      </w:r>
      <w:r>
        <w:rPr>
          <w:b/>
          <w:color w:val="auto"/>
          <w:sz w:val="20"/>
          <w:szCs w:val="20"/>
        </w:rPr>
        <w:t xml:space="preserve"> </w:t>
      </w:r>
      <w:r w:rsidRPr="00ED4507">
        <w:rPr>
          <w:b/>
          <w:color w:val="auto"/>
          <w:sz w:val="20"/>
          <w:szCs w:val="20"/>
        </w:rPr>
        <w:t>Genel Kurul Toplantı Tutanağı ve Hazır Bulunanlar Listesinin imzalanması için Başkanlık Divanı'na yetki verilmesi,</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 xml:space="preserve">TTK ve Yönetmelik hükümleri çerçevesinde Genel Kurul’da alınan kararların tutanağa geçirilmesi konusunda Başkanlık Divanı’na yetki verilmesi hususu ortaklarımızın onayına sunulacaktır. </w:t>
      </w:r>
    </w:p>
    <w:p w:rsidR="00C62ADD" w:rsidRPr="00ED4507" w:rsidRDefault="00C62ADD" w:rsidP="00C62ADD">
      <w:pPr>
        <w:pStyle w:val="ListParagraph"/>
        <w:autoSpaceDE w:val="0"/>
        <w:autoSpaceDN w:val="0"/>
        <w:ind w:left="0"/>
        <w:jc w:val="both"/>
        <w:rPr>
          <w:rFonts w:ascii="Times New Roman" w:hAnsi="Times New Roman" w:cs="Times New Roman"/>
          <w:b/>
          <w:sz w:val="20"/>
          <w:szCs w:val="20"/>
        </w:rPr>
      </w:pPr>
    </w:p>
    <w:p w:rsidR="00C62ADD" w:rsidRPr="00ED4507" w:rsidRDefault="00C62ADD" w:rsidP="00C62ADD">
      <w:pPr>
        <w:pStyle w:val="ListParagraph"/>
        <w:autoSpaceDE w:val="0"/>
        <w:autoSpaceDN w:val="0"/>
        <w:ind w:left="0"/>
        <w:jc w:val="both"/>
        <w:rPr>
          <w:rFonts w:ascii="Times New Roman" w:hAnsi="Times New Roman" w:cs="Times New Roman"/>
          <w:b/>
          <w:sz w:val="20"/>
          <w:szCs w:val="20"/>
        </w:rPr>
      </w:pPr>
      <w:r w:rsidRPr="00ED4507">
        <w:rPr>
          <w:rFonts w:ascii="Times New Roman" w:hAnsi="Times New Roman" w:cs="Times New Roman"/>
          <w:b/>
          <w:sz w:val="20"/>
          <w:szCs w:val="20"/>
        </w:rPr>
        <w:t>3. 201</w:t>
      </w:r>
      <w:r>
        <w:rPr>
          <w:rFonts w:ascii="Times New Roman" w:hAnsi="Times New Roman" w:cs="Times New Roman"/>
          <w:b/>
          <w:sz w:val="20"/>
          <w:szCs w:val="20"/>
        </w:rPr>
        <w:t>4</w:t>
      </w:r>
      <w:r w:rsidRPr="00ED4507">
        <w:rPr>
          <w:rFonts w:ascii="Times New Roman" w:hAnsi="Times New Roman" w:cs="Times New Roman"/>
          <w:b/>
          <w:sz w:val="20"/>
          <w:szCs w:val="20"/>
        </w:rPr>
        <w:t xml:space="preserve"> </w:t>
      </w:r>
      <w:r w:rsidR="006F555C">
        <w:rPr>
          <w:rFonts w:ascii="Times New Roman" w:hAnsi="Times New Roman" w:cs="Times New Roman"/>
          <w:b/>
          <w:sz w:val="20"/>
          <w:szCs w:val="20"/>
        </w:rPr>
        <w:t xml:space="preserve">yılı </w:t>
      </w:r>
      <w:r w:rsidRPr="00ED4507">
        <w:rPr>
          <w:rFonts w:ascii="Times New Roman" w:hAnsi="Times New Roman" w:cs="Times New Roman"/>
          <w:b/>
          <w:sz w:val="20"/>
          <w:szCs w:val="20"/>
        </w:rPr>
        <w:t>faaliyet dönemine ait Yönetim Kurulu Faaliyet Raporunun</w:t>
      </w:r>
      <w:r>
        <w:rPr>
          <w:rFonts w:ascii="Times New Roman" w:hAnsi="Times New Roman" w:cs="Times New Roman"/>
          <w:b/>
          <w:sz w:val="20"/>
          <w:szCs w:val="20"/>
        </w:rPr>
        <w:t xml:space="preserve"> </w:t>
      </w:r>
      <w:r w:rsidRPr="00ED4507">
        <w:rPr>
          <w:rFonts w:ascii="Times New Roman" w:hAnsi="Times New Roman" w:cs="Times New Roman"/>
          <w:b/>
          <w:sz w:val="20"/>
          <w:szCs w:val="20"/>
        </w:rPr>
        <w:t>ve Bağımsız Denetim Raporu’nun okunması, müzakeresi ve onaylanması,</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TTK ve SPK hükümleri ile Yönetmelik doğrultusunda 01.01.201</w:t>
      </w:r>
      <w:r w:rsidR="0028088D">
        <w:rPr>
          <w:color w:val="auto"/>
          <w:sz w:val="20"/>
          <w:szCs w:val="20"/>
        </w:rPr>
        <w:t>4</w:t>
      </w:r>
      <w:r w:rsidRPr="00ED4507">
        <w:rPr>
          <w:color w:val="auto"/>
          <w:sz w:val="20"/>
          <w:szCs w:val="20"/>
        </w:rPr>
        <w:t>–31.12.201</w:t>
      </w:r>
      <w:r w:rsidR="0028088D">
        <w:rPr>
          <w:color w:val="auto"/>
          <w:sz w:val="20"/>
          <w:szCs w:val="20"/>
        </w:rPr>
        <w:t>4</w:t>
      </w:r>
      <w:r w:rsidRPr="00ED4507">
        <w:rPr>
          <w:color w:val="auto"/>
          <w:sz w:val="20"/>
          <w:szCs w:val="20"/>
        </w:rPr>
        <w:t xml:space="preserve"> hesap dönemine ait Yönetim Kurulu Faaliyet</w:t>
      </w:r>
      <w:r>
        <w:rPr>
          <w:color w:val="auto"/>
          <w:sz w:val="20"/>
          <w:szCs w:val="20"/>
        </w:rPr>
        <w:t xml:space="preserve"> Raporu </w:t>
      </w:r>
      <w:r w:rsidRPr="00ED4507">
        <w:rPr>
          <w:color w:val="auto"/>
          <w:sz w:val="20"/>
          <w:szCs w:val="20"/>
        </w:rPr>
        <w:t xml:space="preserve">ve Bağımsız Denetim Raporları Genel Kurul'da okunacaktır. Söz konusu raporlar görüşe açılarak ayrı ayrı oylanacaktır. </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 xml:space="preserve">Söz konusu dokümanlara şirketimiz merkezinden veya </w:t>
      </w:r>
      <w:hyperlink r:id="rId5" w:history="1">
        <w:r w:rsidRPr="00ED4507">
          <w:rPr>
            <w:rStyle w:val="Hyperlink"/>
            <w:color w:val="auto"/>
            <w:sz w:val="20"/>
            <w:szCs w:val="20"/>
          </w:rPr>
          <w:t>www.parkelektrik.com.tr</w:t>
        </w:r>
      </w:hyperlink>
      <w:r w:rsidRPr="00ED4507">
        <w:rPr>
          <w:color w:val="auto"/>
          <w:sz w:val="20"/>
          <w:szCs w:val="20"/>
        </w:rPr>
        <w:t xml:space="preserve"> adresindeki internet sitemizden ve MKK’nın Elektronik Genel Kurul Portal’ından ulaşılması mümkündür.. </w:t>
      </w:r>
    </w:p>
    <w:p w:rsidR="00C62ADD" w:rsidRPr="00ED4507" w:rsidRDefault="00C62ADD" w:rsidP="00C62ADD">
      <w:pPr>
        <w:pStyle w:val="Default"/>
        <w:rPr>
          <w:color w:val="auto"/>
          <w:sz w:val="20"/>
          <w:szCs w:val="20"/>
        </w:rPr>
      </w:pPr>
    </w:p>
    <w:p w:rsidR="00C62ADD" w:rsidRPr="00ED4507" w:rsidRDefault="00C62ADD" w:rsidP="00C62ADD">
      <w:pPr>
        <w:pStyle w:val="ListParagraph"/>
        <w:autoSpaceDE w:val="0"/>
        <w:autoSpaceDN w:val="0"/>
        <w:ind w:left="0"/>
        <w:jc w:val="both"/>
        <w:rPr>
          <w:rFonts w:ascii="Times New Roman" w:hAnsi="Times New Roman" w:cs="Times New Roman"/>
          <w:b/>
          <w:sz w:val="20"/>
          <w:szCs w:val="20"/>
        </w:rPr>
      </w:pPr>
      <w:r w:rsidRPr="00ED4507">
        <w:rPr>
          <w:rFonts w:ascii="Times New Roman" w:hAnsi="Times New Roman" w:cs="Times New Roman"/>
          <w:b/>
          <w:sz w:val="20"/>
          <w:szCs w:val="20"/>
        </w:rPr>
        <w:t>4. 201</w:t>
      </w:r>
      <w:r>
        <w:rPr>
          <w:rFonts w:ascii="Times New Roman" w:hAnsi="Times New Roman" w:cs="Times New Roman"/>
          <w:b/>
          <w:sz w:val="20"/>
          <w:szCs w:val="20"/>
        </w:rPr>
        <w:t>4</w:t>
      </w:r>
      <w:r w:rsidRPr="00ED4507">
        <w:rPr>
          <w:rFonts w:ascii="Times New Roman" w:hAnsi="Times New Roman" w:cs="Times New Roman"/>
          <w:b/>
          <w:sz w:val="20"/>
          <w:szCs w:val="20"/>
        </w:rPr>
        <w:t xml:space="preserve"> </w:t>
      </w:r>
      <w:r w:rsidR="006F555C">
        <w:rPr>
          <w:rFonts w:ascii="Times New Roman" w:hAnsi="Times New Roman" w:cs="Times New Roman"/>
          <w:b/>
          <w:sz w:val="20"/>
          <w:szCs w:val="20"/>
        </w:rPr>
        <w:t xml:space="preserve">yılı </w:t>
      </w:r>
      <w:r w:rsidRPr="00ED4507">
        <w:rPr>
          <w:rFonts w:ascii="Times New Roman" w:hAnsi="Times New Roman" w:cs="Times New Roman"/>
          <w:b/>
          <w:sz w:val="20"/>
          <w:szCs w:val="20"/>
        </w:rPr>
        <w:t>faaliyet dönemi bilanço, kar ve zarar hesaplarının okunması, müzakeresi ve onaylanması,</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TTK ve SPK hükümleri ile Yönetmelik doğrultusunda 31.12.201</w:t>
      </w:r>
      <w:r>
        <w:rPr>
          <w:color w:val="auto"/>
          <w:sz w:val="20"/>
          <w:szCs w:val="20"/>
        </w:rPr>
        <w:t>4</w:t>
      </w:r>
      <w:r w:rsidRPr="00ED4507">
        <w:rPr>
          <w:color w:val="auto"/>
          <w:sz w:val="20"/>
          <w:szCs w:val="20"/>
        </w:rPr>
        <w:t xml:space="preserve"> tarihli Bilanço ve 01.01.201</w:t>
      </w:r>
      <w:r>
        <w:rPr>
          <w:color w:val="auto"/>
          <w:sz w:val="20"/>
          <w:szCs w:val="20"/>
        </w:rPr>
        <w:t>4</w:t>
      </w:r>
      <w:r w:rsidRPr="00ED4507">
        <w:rPr>
          <w:color w:val="auto"/>
          <w:sz w:val="20"/>
          <w:szCs w:val="20"/>
        </w:rPr>
        <w:t>-31.12.201</w:t>
      </w:r>
      <w:r>
        <w:rPr>
          <w:color w:val="auto"/>
          <w:sz w:val="20"/>
          <w:szCs w:val="20"/>
        </w:rPr>
        <w:t>4</w:t>
      </w:r>
      <w:r w:rsidRPr="00ED4507">
        <w:rPr>
          <w:color w:val="auto"/>
          <w:sz w:val="20"/>
          <w:szCs w:val="20"/>
        </w:rPr>
        <w:t xml:space="preserve"> hesap dönemine ait Kar-Zarar hesapları Genel Kurul’un görüş ve onayına sunulacaktır. Söz konusu dokümanlara şirketimiz merkezinden veya </w:t>
      </w:r>
      <w:hyperlink r:id="rId6" w:history="1">
        <w:r w:rsidRPr="00ED4507">
          <w:rPr>
            <w:rStyle w:val="Hyperlink"/>
            <w:color w:val="auto"/>
            <w:sz w:val="20"/>
            <w:szCs w:val="20"/>
          </w:rPr>
          <w:t>www.parkelektrik.com.tr</w:t>
        </w:r>
      </w:hyperlink>
      <w:r w:rsidRPr="00ED4507">
        <w:rPr>
          <w:color w:val="auto"/>
          <w:sz w:val="20"/>
          <w:szCs w:val="20"/>
        </w:rPr>
        <w:t xml:space="preserve"> adresindeki internet sitemizden ve MKK’nın Elektronik Genel Kurul Portal’ından ulaşılması mümkündür. </w:t>
      </w:r>
    </w:p>
    <w:p w:rsidR="00C62ADD" w:rsidRPr="00ED4507" w:rsidRDefault="00C62ADD" w:rsidP="00C62ADD">
      <w:pPr>
        <w:pStyle w:val="Default"/>
        <w:rPr>
          <w:color w:val="auto"/>
          <w:sz w:val="20"/>
          <w:szCs w:val="20"/>
        </w:rPr>
      </w:pPr>
    </w:p>
    <w:p w:rsidR="00C62ADD" w:rsidRPr="00ED4507" w:rsidRDefault="00C62ADD" w:rsidP="00C62ADD">
      <w:pPr>
        <w:pStyle w:val="ListParagraph"/>
        <w:autoSpaceDE w:val="0"/>
        <w:autoSpaceDN w:val="0"/>
        <w:ind w:left="0"/>
        <w:jc w:val="both"/>
        <w:rPr>
          <w:rFonts w:ascii="Times New Roman" w:hAnsi="Times New Roman" w:cs="Times New Roman"/>
          <w:b/>
          <w:sz w:val="20"/>
          <w:szCs w:val="20"/>
        </w:rPr>
      </w:pPr>
      <w:r w:rsidRPr="00ED4507">
        <w:rPr>
          <w:rFonts w:ascii="Times New Roman" w:hAnsi="Times New Roman" w:cs="Times New Roman"/>
          <w:b/>
          <w:sz w:val="20"/>
          <w:szCs w:val="20"/>
        </w:rPr>
        <w:t xml:space="preserve">5. </w:t>
      </w:r>
      <w:r>
        <w:rPr>
          <w:rFonts w:ascii="Times New Roman" w:hAnsi="Times New Roman" w:cs="Times New Roman"/>
          <w:b/>
          <w:sz w:val="20"/>
          <w:szCs w:val="20"/>
        </w:rPr>
        <w:t xml:space="preserve"> </w:t>
      </w:r>
      <w:r w:rsidRPr="00ED4507">
        <w:rPr>
          <w:rFonts w:ascii="Times New Roman" w:hAnsi="Times New Roman" w:cs="Times New Roman"/>
          <w:b/>
          <w:sz w:val="20"/>
          <w:szCs w:val="20"/>
        </w:rPr>
        <w:t>Yönetim Kurulu Başkan ve üyelerinin 201</w:t>
      </w:r>
      <w:r>
        <w:rPr>
          <w:rFonts w:ascii="Times New Roman" w:hAnsi="Times New Roman" w:cs="Times New Roman"/>
          <w:b/>
          <w:sz w:val="20"/>
          <w:szCs w:val="20"/>
        </w:rPr>
        <w:t>4</w:t>
      </w:r>
      <w:r w:rsidRPr="00ED4507">
        <w:rPr>
          <w:rFonts w:ascii="Times New Roman" w:hAnsi="Times New Roman" w:cs="Times New Roman"/>
          <w:b/>
          <w:sz w:val="20"/>
          <w:szCs w:val="20"/>
        </w:rPr>
        <w:t xml:space="preserve"> yılı hesap ve faaliyetlerinden dolayı ibra edilmeleri,</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TTK ve Yönetmelik hükümleri çerçevesinde Yönetim Kurulu Başkan ve üyelerimizin 201</w:t>
      </w:r>
      <w:r w:rsidR="0028088D">
        <w:rPr>
          <w:color w:val="auto"/>
          <w:sz w:val="20"/>
          <w:szCs w:val="20"/>
        </w:rPr>
        <w:t>4</w:t>
      </w:r>
      <w:r w:rsidRPr="00ED4507">
        <w:rPr>
          <w:color w:val="auto"/>
          <w:sz w:val="20"/>
          <w:szCs w:val="20"/>
        </w:rPr>
        <w:t xml:space="preserve"> yılı hesap ve faaliyetlerinden dolayı ibra edilmeleri Genel Kurul’un onayına sunulacaktır. </w:t>
      </w:r>
    </w:p>
    <w:p w:rsidR="00C62ADD" w:rsidRPr="00ED4507" w:rsidRDefault="00C62ADD" w:rsidP="00C62ADD">
      <w:pPr>
        <w:pStyle w:val="Default"/>
        <w:rPr>
          <w:color w:val="auto"/>
          <w:sz w:val="20"/>
          <w:szCs w:val="20"/>
        </w:rPr>
      </w:pPr>
    </w:p>
    <w:p w:rsidR="0028088D" w:rsidRPr="0028088D" w:rsidRDefault="00C62ADD" w:rsidP="0028088D">
      <w:pPr>
        <w:autoSpaceDE w:val="0"/>
        <w:autoSpaceDN w:val="0"/>
        <w:adjustRightInd w:val="0"/>
        <w:contextualSpacing/>
        <w:jc w:val="both"/>
        <w:rPr>
          <w:b/>
          <w:color w:val="000000" w:themeColor="text1"/>
          <w:sz w:val="20"/>
        </w:rPr>
      </w:pPr>
      <w:r w:rsidRPr="0028088D">
        <w:rPr>
          <w:b/>
          <w:sz w:val="20"/>
          <w:szCs w:val="20"/>
        </w:rPr>
        <w:t xml:space="preserve">6. </w:t>
      </w:r>
      <w:r w:rsidR="0028088D" w:rsidRPr="0028088D">
        <w:rPr>
          <w:b/>
          <w:color w:val="000000" w:themeColor="text1"/>
          <w:sz w:val="20"/>
        </w:rPr>
        <w:t xml:space="preserve">Şirketin kar dağıtım politikası çerçevesinde hazırlanan, 2014 yılı karının dağıtılması ve kar dağıtım tarihi konusundaki Yönetim Kurulu’nun önerisinin kabulü, değiştirilerek kabulü veya reddi, </w:t>
      </w:r>
    </w:p>
    <w:p w:rsidR="00C62ADD" w:rsidRPr="00ED4507" w:rsidRDefault="00C62ADD" w:rsidP="00C62ADD">
      <w:pPr>
        <w:pStyle w:val="Default"/>
        <w:rPr>
          <w:color w:val="auto"/>
          <w:sz w:val="20"/>
          <w:szCs w:val="20"/>
        </w:rPr>
      </w:pPr>
    </w:p>
    <w:p w:rsidR="00C62ADD" w:rsidRPr="00ED4507" w:rsidRDefault="00C62ADD" w:rsidP="00C62ADD">
      <w:pPr>
        <w:pStyle w:val="Default"/>
        <w:rPr>
          <w:color w:val="auto"/>
          <w:sz w:val="20"/>
          <w:szCs w:val="20"/>
        </w:rPr>
      </w:pPr>
      <w:r w:rsidRPr="00ED4507">
        <w:rPr>
          <w:color w:val="auto"/>
          <w:sz w:val="20"/>
          <w:szCs w:val="20"/>
        </w:rPr>
        <w:t xml:space="preserve">Şirketimizin </w:t>
      </w:r>
      <w:r w:rsidR="006F555C">
        <w:rPr>
          <w:color w:val="auto"/>
          <w:sz w:val="20"/>
          <w:szCs w:val="20"/>
        </w:rPr>
        <w:t xml:space="preserve">6 Nisan 2015 </w:t>
      </w:r>
      <w:r w:rsidR="0028088D">
        <w:rPr>
          <w:color w:val="auto"/>
          <w:sz w:val="20"/>
          <w:szCs w:val="20"/>
        </w:rPr>
        <w:t xml:space="preserve">tarihli </w:t>
      </w:r>
      <w:r w:rsidRPr="00ED4507">
        <w:rPr>
          <w:color w:val="auto"/>
          <w:sz w:val="20"/>
          <w:szCs w:val="20"/>
        </w:rPr>
        <w:t>Yönetim Kurulu</w:t>
      </w:r>
      <w:r w:rsidR="0028088D">
        <w:rPr>
          <w:color w:val="auto"/>
          <w:sz w:val="20"/>
          <w:szCs w:val="20"/>
        </w:rPr>
        <w:t xml:space="preserve"> toplantısında</w:t>
      </w:r>
      <w:r w:rsidRPr="00ED4507">
        <w:rPr>
          <w:color w:val="auto"/>
          <w:sz w:val="20"/>
          <w:szCs w:val="20"/>
        </w:rPr>
        <w:t xml:space="preserve"> alınan temettü dağıtma kararı Genel Kurul'un onayına sunulacaktır. </w:t>
      </w:r>
    </w:p>
    <w:p w:rsidR="00C62ADD" w:rsidRPr="00ED4507" w:rsidRDefault="00C62ADD" w:rsidP="00C62ADD">
      <w:pPr>
        <w:pStyle w:val="Default"/>
        <w:rPr>
          <w:color w:val="auto"/>
          <w:sz w:val="20"/>
          <w:szCs w:val="20"/>
        </w:rPr>
      </w:pPr>
    </w:p>
    <w:p w:rsidR="0028088D" w:rsidRPr="0028088D" w:rsidRDefault="0028088D" w:rsidP="0028088D">
      <w:pPr>
        <w:autoSpaceDE w:val="0"/>
        <w:autoSpaceDN w:val="0"/>
        <w:adjustRightInd w:val="0"/>
        <w:contextualSpacing/>
        <w:jc w:val="both"/>
        <w:rPr>
          <w:b/>
          <w:sz w:val="20"/>
          <w:szCs w:val="20"/>
        </w:rPr>
      </w:pPr>
      <w:r>
        <w:rPr>
          <w:b/>
          <w:sz w:val="20"/>
          <w:szCs w:val="20"/>
        </w:rPr>
        <w:t xml:space="preserve">7. </w:t>
      </w:r>
      <w:r w:rsidRPr="0028088D">
        <w:rPr>
          <w:b/>
          <w:sz w:val="20"/>
          <w:szCs w:val="20"/>
        </w:rPr>
        <w:t>Sermaye Piyasası Kurulu tarafından yayımlanan "Sermaye Piyasasında Bağımsız Denetim Standartları" hakkındaki tebliğ ile Türk Ticaret Kanunu ve Enerji Piyasası Düzenleme Kurumu mevzuatları gereğince bağımsız denetim faaliyetini gerçekleştirmek ve 2015 yılı faaliyet ve hesaplarını incelemek üzere, Denetimden Sorumlu Komitenin önerisi üzerine Yönetim Kurulu’nca seçilen “DRT Bağımsız Denetim ve Serbest Muhasebeci Mali Müşavirlik A.Ş.” Bağımsız Denetim Kuruluşu'nun onaylanması,</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Default"/>
        <w:rPr>
          <w:color w:val="auto"/>
          <w:sz w:val="20"/>
          <w:szCs w:val="20"/>
        </w:rPr>
      </w:pPr>
      <w:r w:rsidRPr="00ED4507">
        <w:rPr>
          <w:color w:val="auto"/>
          <w:sz w:val="20"/>
          <w:szCs w:val="20"/>
        </w:rPr>
        <w:t>Şirketim</w:t>
      </w:r>
      <w:r w:rsidRPr="00ED4507">
        <w:rPr>
          <w:color w:val="auto"/>
          <w:sz w:val="20"/>
          <w:szCs w:val="20"/>
          <w:shd w:val="clear" w:color="auto" w:fill="FFFFFF"/>
        </w:rPr>
        <w:t xml:space="preserve">izin  </w:t>
      </w:r>
      <w:r w:rsidR="006F555C">
        <w:rPr>
          <w:color w:val="auto"/>
          <w:sz w:val="20"/>
          <w:szCs w:val="20"/>
          <w:shd w:val="clear" w:color="auto" w:fill="FFFFFF"/>
        </w:rPr>
        <w:t xml:space="preserve">24 Mart 2015 </w:t>
      </w:r>
      <w:r w:rsidRPr="00ED4507">
        <w:rPr>
          <w:color w:val="auto"/>
          <w:sz w:val="20"/>
          <w:szCs w:val="20"/>
        </w:rPr>
        <w:t>tarihinde yapılan Yönetim Kurulu toplantısında Denetim Komitesi’nin önerisiyle, 201</w:t>
      </w:r>
      <w:r w:rsidR="0028088D">
        <w:rPr>
          <w:color w:val="auto"/>
          <w:sz w:val="20"/>
          <w:szCs w:val="20"/>
        </w:rPr>
        <w:t>5</w:t>
      </w:r>
      <w:r w:rsidRPr="00ED4507">
        <w:rPr>
          <w:color w:val="auto"/>
          <w:sz w:val="20"/>
          <w:szCs w:val="20"/>
        </w:rPr>
        <w:t xml:space="preserve"> yılı için Sermaye Piyasası Kurulu, Türk Ticaret Kanunu ve Enerji Piyasası Düzenleme Kurumu mevzuatları gereğince bağımsız denetim faaliyetini gerçekleştirmek üzere DRT Bağımsız Denetim ve Serbest Muhasebeci Mali Müşavirlik A.Ş.'nin seçilmesi ile ilgili kararın Genel Kurul'un onayına sunulması. </w:t>
      </w:r>
    </w:p>
    <w:p w:rsidR="00C62ADD" w:rsidRPr="00ED4507" w:rsidRDefault="00C62ADD" w:rsidP="00C62ADD">
      <w:pPr>
        <w:pStyle w:val="Default"/>
        <w:rPr>
          <w:color w:val="auto"/>
          <w:sz w:val="20"/>
          <w:szCs w:val="20"/>
        </w:rPr>
      </w:pPr>
    </w:p>
    <w:p w:rsidR="00C62ADD" w:rsidRPr="00ED4507" w:rsidRDefault="006F555C" w:rsidP="00C62ADD">
      <w:pPr>
        <w:pStyle w:val="ListParagraph"/>
        <w:autoSpaceDE w:val="0"/>
        <w:autoSpaceDN w:val="0"/>
        <w:adjustRightInd w:val="0"/>
        <w:ind w:left="0"/>
        <w:contextualSpacing/>
        <w:jc w:val="both"/>
        <w:rPr>
          <w:rFonts w:ascii="Times New Roman" w:hAnsi="Times New Roman" w:cs="Times New Roman"/>
          <w:b/>
          <w:sz w:val="20"/>
          <w:szCs w:val="20"/>
        </w:rPr>
      </w:pPr>
      <w:r>
        <w:rPr>
          <w:rFonts w:ascii="Times New Roman" w:hAnsi="Times New Roman" w:cs="Times New Roman"/>
          <w:b/>
          <w:sz w:val="20"/>
          <w:szCs w:val="20"/>
        </w:rPr>
        <w:t>8</w:t>
      </w:r>
      <w:r w:rsidR="00C62ADD" w:rsidRPr="00ED4507">
        <w:rPr>
          <w:rFonts w:ascii="Times New Roman" w:hAnsi="Times New Roman" w:cs="Times New Roman"/>
          <w:b/>
          <w:sz w:val="20"/>
          <w:szCs w:val="20"/>
        </w:rPr>
        <w:t>. Kurumsal yönetim ilkeleri uyarınca düzenlenen Yönetim Kurulu üyelerinin ve üst düzey yöneticilerin ücretlendirme esasları hakkında Genel Kurul'a yazılı bilgi verilmesi,</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6F555C" w:rsidP="00C62ADD">
      <w:pPr>
        <w:pStyle w:val="ListParagraph"/>
        <w:autoSpaceDE w:val="0"/>
        <w:autoSpaceDN w:val="0"/>
        <w:adjustRightInd w:val="0"/>
        <w:ind w:left="0"/>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Ücretlendirme Esasları ile ilgili olarak Genel Kurul’a bilgi sunulması. </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6F555C" w:rsidP="00C62ADD">
      <w:pPr>
        <w:pStyle w:val="ListParagraph"/>
        <w:autoSpaceDE w:val="0"/>
        <w:autoSpaceDN w:val="0"/>
        <w:adjustRightInd w:val="0"/>
        <w:ind w:left="0"/>
        <w:contextualSpacing/>
        <w:jc w:val="both"/>
        <w:rPr>
          <w:rFonts w:ascii="Times New Roman" w:hAnsi="Times New Roman" w:cs="Times New Roman"/>
          <w:b/>
          <w:sz w:val="20"/>
          <w:szCs w:val="20"/>
        </w:rPr>
      </w:pPr>
      <w:r>
        <w:rPr>
          <w:rFonts w:ascii="Times New Roman" w:hAnsi="Times New Roman" w:cs="Times New Roman"/>
          <w:b/>
          <w:sz w:val="20"/>
          <w:szCs w:val="20"/>
        </w:rPr>
        <w:t>9</w:t>
      </w:r>
      <w:r w:rsidR="00C62ADD" w:rsidRPr="00ED4507">
        <w:rPr>
          <w:rFonts w:ascii="Times New Roman" w:hAnsi="Times New Roman" w:cs="Times New Roman"/>
          <w:b/>
          <w:sz w:val="20"/>
          <w:szCs w:val="20"/>
        </w:rPr>
        <w:t>. Yönetim kurulu üyelerine ödenecek ücretlerin görüşülmesi ve karara bağlanması,</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Default"/>
        <w:rPr>
          <w:color w:val="auto"/>
          <w:sz w:val="20"/>
          <w:szCs w:val="20"/>
        </w:rPr>
      </w:pPr>
      <w:r w:rsidRPr="00ED4507">
        <w:rPr>
          <w:color w:val="auto"/>
          <w:sz w:val="20"/>
          <w:szCs w:val="20"/>
        </w:rPr>
        <w:t xml:space="preserve">TTK ve Yönetmelik hükümleri ile ana sözleşmemizde yer alan esaslar çerçevesinde Yönetim Kurulu başkan ve üyelerinin aylık brüt ücretleri görüşülecektir. </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3300A6" w:rsidRPr="003300A6" w:rsidRDefault="003300A6" w:rsidP="003300A6">
      <w:pPr>
        <w:pStyle w:val="ListParagraph"/>
        <w:autoSpaceDE w:val="0"/>
        <w:autoSpaceDN w:val="0"/>
        <w:adjustRightInd w:val="0"/>
        <w:ind w:left="0"/>
        <w:contextualSpacing/>
        <w:jc w:val="both"/>
        <w:rPr>
          <w:rFonts w:ascii="Times New Roman" w:hAnsi="Times New Roman" w:cs="Times New Roman"/>
          <w:b/>
          <w:sz w:val="20"/>
          <w:szCs w:val="20"/>
        </w:rPr>
      </w:pPr>
      <w:r>
        <w:rPr>
          <w:rFonts w:ascii="Times New Roman" w:hAnsi="Times New Roman" w:cs="Times New Roman"/>
          <w:b/>
          <w:sz w:val="20"/>
          <w:szCs w:val="20"/>
        </w:rPr>
        <w:t>1</w:t>
      </w:r>
      <w:r w:rsidR="006F555C">
        <w:rPr>
          <w:rFonts w:ascii="Times New Roman" w:hAnsi="Times New Roman" w:cs="Times New Roman"/>
          <w:b/>
          <w:sz w:val="20"/>
          <w:szCs w:val="20"/>
        </w:rPr>
        <w:t>0</w:t>
      </w:r>
      <w:r>
        <w:rPr>
          <w:rFonts w:ascii="Times New Roman" w:hAnsi="Times New Roman" w:cs="Times New Roman"/>
          <w:b/>
          <w:sz w:val="20"/>
          <w:szCs w:val="20"/>
        </w:rPr>
        <w:t xml:space="preserve">. </w:t>
      </w:r>
      <w:r w:rsidRPr="003300A6">
        <w:rPr>
          <w:rFonts w:ascii="Times New Roman" w:hAnsi="Times New Roman" w:cs="Times New Roman"/>
          <w:b/>
          <w:sz w:val="20"/>
          <w:szCs w:val="20"/>
        </w:rPr>
        <w:t>Sermaye Piyasası Kurulu tarafından yayımlanan Kurumsal Yönetim İlkelerinin Belirlenmesine ve Uygulanmasına İlişkin Tebliğin 1.3.7nci maddesi ile Türk Ticaret Kanunu’nun 395 ve 396. Maddeleri gereğince yönetim hakimiyetini elinde bulunduran pay sahiplerinin, yönetim kurulu üyelerinin, üst düzey yöneticilerin ve bunların eş ve ikinci dereceye kadar kan ve sıhri hısımlarının şirket ve bağlı ortaklıklarla çıkar çatışmasına sebep olabilecek işleri bizzat veya başkaları adına yapabilmeleri; rekabet edebilmeleri ve bu nevi işleri yapan şirketlere ortak olabilmelerine ilişkin genel kurulun onay vermesi,</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autoSpaceDE w:val="0"/>
        <w:autoSpaceDN w:val="0"/>
        <w:adjustRightInd w:val="0"/>
        <w:rPr>
          <w:sz w:val="20"/>
          <w:szCs w:val="20"/>
        </w:rPr>
      </w:pPr>
      <w:r w:rsidRPr="00ED4507">
        <w:rPr>
          <w:sz w:val="20"/>
          <w:szCs w:val="20"/>
        </w:rPr>
        <w:t>Yönetim Kurulu üyelerimizin TTK’nın “Şirketle Muamele Yapma Yasağı” başlıklı 334 ve “Rekabet Yasağı” başlıklı 335’inci maddeleri çerçevesinde işlem yapabilmeleri ancak Genel Kurul'un onayı ile mümkün olduğundan, söz konusu iznin verilmesinin Genel Kurul'un onayına sunulması.</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r w:rsidRPr="00ED4507">
        <w:rPr>
          <w:rFonts w:ascii="Times New Roman" w:hAnsi="Times New Roman" w:cs="Times New Roman"/>
          <w:b/>
          <w:sz w:val="20"/>
          <w:szCs w:val="20"/>
        </w:rPr>
        <w:t>1</w:t>
      </w:r>
      <w:r w:rsidR="006F555C">
        <w:rPr>
          <w:rFonts w:ascii="Times New Roman" w:hAnsi="Times New Roman" w:cs="Times New Roman"/>
          <w:b/>
          <w:sz w:val="20"/>
          <w:szCs w:val="20"/>
        </w:rPr>
        <w:t>1</w:t>
      </w:r>
      <w:r w:rsidRPr="00ED4507">
        <w:rPr>
          <w:rFonts w:ascii="Times New Roman" w:hAnsi="Times New Roman" w:cs="Times New Roman"/>
          <w:b/>
          <w:sz w:val="20"/>
          <w:szCs w:val="20"/>
        </w:rPr>
        <w:t>. Sermaye Piyasası Kurulunun II-19.1 sayılı Kar Payı Tebliği’nin 6’ncı maddesi gereğince Şirketimiz tarafından 201</w:t>
      </w:r>
      <w:r w:rsidR="003300A6">
        <w:rPr>
          <w:rFonts w:ascii="Times New Roman" w:hAnsi="Times New Roman" w:cs="Times New Roman"/>
          <w:b/>
          <w:sz w:val="20"/>
          <w:szCs w:val="20"/>
        </w:rPr>
        <w:t>4</w:t>
      </w:r>
      <w:r w:rsidRPr="00ED4507">
        <w:rPr>
          <w:rFonts w:ascii="Times New Roman" w:hAnsi="Times New Roman" w:cs="Times New Roman"/>
          <w:b/>
          <w:sz w:val="20"/>
          <w:szCs w:val="20"/>
        </w:rPr>
        <w:t xml:space="preserve"> yılında yapılan bağış ve yardımların Pay Sahiplerinin bilgilerine sunulması ve 201</w:t>
      </w:r>
      <w:r w:rsidR="003300A6">
        <w:rPr>
          <w:rFonts w:ascii="Times New Roman" w:hAnsi="Times New Roman" w:cs="Times New Roman"/>
          <w:b/>
          <w:sz w:val="20"/>
          <w:szCs w:val="20"/>
        </w:rPr>
        <w:t>5</w:t>
      </w:r>
      <w:r w:rsidRPr="00ED4507">
        <w:rPr>
          <w:rFonts w:ascii="Times New Roman" w:hAnsi="Times New Roman" w:cs="Times New Roman"/>
          <w:b/>
          <w:sz w:val="20"/>
          <w:szCs w:val="20"/>
        </w:rPr>
        <w:t xml:space="preserve"> yılında yapılacak bağışlar için üst sınırın belirlenmesi, </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Default"/>
        <w:rPr>
          <w:color w:val="auto"/>
          <w:sz w:val="20"/>
          <w:szCs w:val="20"/>
          <w:shd w:val="clear" w:color="auto" w:fill="FFFFFF"/>
        </w:rPr>
      </w:pPr>
      <w:r w:rsidRPr="006D74E3">
        <w:rPr>
          <w:color w:val="auto"/>
          <w:sz w:val="20"/>
          <w:szCs w:val="20"/>
        </w:rPr>
        <w:t xml:space="preserve">Sermaye Piyasası Kurulu’nun </w:t>
      </w:r>
      <w:r w:rsidR="006D74E3" w:rsidRPr="006D74E3">
        <w:rPr>
          <w:sz w:val="20"/>
          <w:szCs w:val="20"/>
        </w:rPr>
        <w:t>II-19.1 sayılı Kar Payı Tebliği’nin 6’ncı maddesi gereğince</w:t>
      </w:r>
      <w:r w:rsidRPr="006D74E3">
        <w:rPr>
          <w:color w:val="auto"/>
          <w:sz w:val="20"/>
          <w:szCs w:val="20"/>
        </w:rPr>
        <w:t xml:space="preserve"> yıl içinde yapılan </w:t>
      </w:r>
      <w:r w:rsidRPr="00ED4507">
        <w:rPr>
          <w:color w:val="auto"/>
          <w:sz w:val="20"/>
          <w:szCs w:val="20"/>
        </w:rPr>
        <w:t>bağışların genel kurulun bilgisine sunulması gerekmektedir. Söz konusu madde Genel Kurulun onayına ilişkin olmayıp sadece bilgilendirme amacını taşımaktadır. Şirketimiz tarafından 201</w:t>
      </w:r>
      <w:r w:rsidR="003300A6">
        <w:rPr>
          <w:color w:val="auto"/>
          <w:sz w:val="20"/>
          <w:szCs w:val="20"/>
        </w:rPr>
        <w:t>4</w:t>
      </w:r>
      <w:r w:rsidRPr="00ED4507">
        <w:rPr>
          <w:color w:val="auto"/>
          <w:sz w:val="20"/>
          <w:szCs w:val="20"/>
        </w:rPr>
        <w:t xml:space="preserve"> yılında </w:t>
      </w:r>
      <w:r w:rsidRPr="00ED4507">
        <w:rPr>
          <w:color w:val="auto"/>
          <w:sz w:val="20"/>
          <w:szCs w:val="20"/>
          <w:shd w:val="clear" w:color="auto" w:fill="FFFFFF"/>
        </w:rPr>
        <w:t xml:space="preserve">toplam </w:t>
      </w:r>
      <w:r w:rsidR="003300A6">
        <w:rPr>
          <w:color w:val="auto"/>
          <w:sz w:val="20"/>
          <w:szCs w:val="20"/>
          <w:shd w:val="clear" w:color="auto" w:fill="FFFFFF"/>
        </w:rPr>
        <w:t>7.439.301</w:t>
      </w:r>
      <w:r w:rsidRPr="00ED4507">
        <w:rPr>
          <w:color w:val="auto"/>
          <w:sz w:val="20"/>
          <w:szCs w:val="20"/>
          <w:lang w:eastAsia="en-US"/>
        </w:rPr>
        <w:t xml:space="preserve"> TL </w:t>
      </w:r>
      <w:r w:rsidRPr="00ED4507">
        <w:rPr>
          <w:color w:val="auto"/>
          <w:sz w:val="20"/>
          <w:szCs w:val="20"/>
          <w:shd w:val="clear" w:color="auto" w:fill="FFFFFF"/>
        </w:rPr>
        <w:t>bağış</w:t>
      </w:r>
      <w:r w:rsidRPr="00ED4507">
        <w:rPr>
          <w:color w:val="auto"/>
          <w:sz w:val="20"/>
          <w:szCs w:val="20"/>
        </w:rPr>
        <w:t xml:space="preserve"> ve yardım gerçekleştirilmiştir. </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r w:rsidRPr="00ED4507">
        <w:rPr>
          <w:rFonts w:ascii="Times New Roman" w:hAnsi="Times New Roman" w:cs="Times New Roman"/>
          <w:b/>
          <w:sz w:val="20"/>
          <w:szCs w:val="20"/>
        </w:rPr>
        <w:t>1</w:t>
      </w:r>
      <w:r w:rsidR="006F555C">
        <w:rPr>
          <w:rFonts w:ascii="Times New Roman" w:hAnsi="Times New Roman" w:cs="Times New Roman"/>
          <w:b/>
          <w:sz w:val="20"/>
          <w:szCs w:val="20"/>
        </w:rPr>
        <w:t>2</w:t>
      </w:r>
      <w:r w:rsidRPr="00ED4507">
        <w:rPr>
          <w:rFonts w:ascii="Times New Roman" w:hAnsi="Times New Roman" w:cs="Times New Roman"/>
          <w:b/>
          <w:sz w:val="20"/>
          <w:szCs w:val="20"/>
        </w:rPr>
        <w:t>. SPK mevzuatı uyarınca 201</w:t>
      </w:r>
      <w:r w:rsidR="003300A6">
        <w:rPr>
          <w:rFonts w:ascii="Times New Roman" w:hAnsi="Times New Roman" w:cs="Times New Roman"/>
          <w:b/>
          <w:sz w:val="20"/>
          <w:szCs w:val="20"/>
        </w:rPr>
        <w:t>4</w:t>
      </w:r>
      <w:r w:rsidRPr="00ED4507">
        <w:rPr>
          <w:rFonts w:ascii="Times New Roman" w:hAnsi="Times New Roman" w:cs="Times New Roman"/>
          <w:b/>
          <w:sz w:val="20"/>
          <w:szCs w:val="20"/>
        </w:rPr>
        <w:t xml:space="preserve"> yılı içinde ilişkili taraflarla yapılan işlemler hakkında Genel Kurul'a bilgi verilmesi,</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3300A6" w:rsidRPr="003300A6" w:rsidRDefault="003300A6" w:rsidP="003300A6">
      <w:pPr>
        <w:rPr>
          <w:b/>
          <w:sz w:val="20"/>
          <w:szCs w:val="20"/>
        </w:rPr>
      </w:pPr>
      <w:r w:rsidRPr="003300A6">
        <w:rPr>
          <w:b/>
          <w:sz w:val="20"/>
          <w:szCs w:val="20"/>
        </w:rPr>
        <w:t xml:space="preserve">İLİŞKİLİ TARAF İŞLEMLERİ YÖNETİM KURULU RAPORU </w:t>
      </w:r>
    </w:p>
    <w:p w:rsidR="003300A6" w:rsidRPr="003300A6" w:rsidRDefault="003300A6" w:rsidP="003300A6">
      <w:pPr>
        <w:rPr>
          <w:sz w:val="20"/>
          <w:szCs w:val="20"/>
        </w:rPr>
      </w:pPr>
    </w:p>
    <w:p w:rsidR="003300A6" w:rsidRPr="003300A6" w:rsidRDefault="003300A6" w:rsidP="003300A6">
      <w:pPr>
        <w:rPr>
          <w:sz w:val="20"/>
          <w:szCs w:val="20"/>
        </w:rPr>
      </w:pPr>
      <w:r w:rsidRPr="003300A6">
        <w:rPr>
          <w:sz w:val="20"/>
          <w:szCs w:val="20"/>
        </w:rPr>
        <w:t>1</w:t>
      </w:r>
      <w:r>
        <w:rPr>
          <w:sz w:val="20"/>
          <w:szCs w:val="20"/>
        </w:rPr>
        <w:t xml:space="preserve">. </w:t>
      </w:r>
      <w:r w:rsidRPr="003300A6">
        <w:rPr>
          <w:sz w:val="20"/>
          <w:szCs w:val="20"/>
        </w:rPr>
        <w:t xml:space="preserve">Şirketimizin grup şirketlerinden toplam alacağı 31.12.2014 tarihi itibari ile 240.236.624 TL’dir. Bu tutar 31.12.2013 tarihli mali tablolarda 271.235.924 TL olarak gerçekleşmiştir. Bu alacağın 29.815.386 TL’si ticari nitelik taşımaktadır. 210.418.105 TL’si ise Park Holding A.Ş.’den olan ticari olmayan alacaktır. Alacak TL bazında izlenmektedir.Şirketin ticari ve finansal alacakları  için kullanılan faiz oranı Ocak-Mart ayları arasında %11.13, Nisan-Haziran ayları arasında %10.66 ve Temmuz-Eylül ayları arasında %10.43, Ekim-Aralık arasında %9.82’dir.  </w:t>
      </w:r>
    </w:p>
    <w:p w:rsidR="003300A6" w:rsidRPr="003300A6" w:rsidRDefault="003300A6" w:rsidP="003300A6">
      <w:pPr>
        <w:rPr>
          <w:sz w:val="20"/>
          <w:szCs w:val="20"/>
        </w:rPr>
      </w:pPr>
    </w:p>
    <w:p w:rsidR="003300A6" w:rsidRPr="003300A6" w:rsidRDefault="003300A6" w:rsidP="003300A6">
      <w:pPr>
        <w:rPr>
          <w:sz w:val="20"/>
          <w:szCs w:val="20"/>
        </w:rPr>
      </w:pPr>
      <w:r w:rsidRPr="003300A6">
        <w:rPr>
          <w:sz w:val="20"/>
          <w:szCs w:val="20"/>
        </w:rPr>
        <w:t>Merkez Bankası verilerine göre bir yıla kadar vadeli mevduatlara uygulanan ağırlıklı ortalama faiz oranı %</w:t>
      </w:r>
      <w:r w:rsidRPr="003300A6">
        <w:rPr>
          <w:color w:val="000000" w:themeColor="text1"/>
          <w:sz w:val="20"/>
          <w:szCs w:val="20"/>
        </w:rPr>
        <w:t>9,85</w:t>
      </w:r>
      <w:r w:rsidRPr="003300A6">
        <w:rPr>
          <w:sz w:val="20"/>
          <w:szCs w:val="20"/>
        </w:rPr>
        <w:t xml:space="preserve"> olmuştur. Sözkonusu alacağa uygulanan yıllık ortalama faiz oranı ise yaklaşık %10,62’dir. Görüldüğü gibi uygulanan faiz oranı piyasa ortalamalarının üzerinde gerçekleşmiştir. </w:t>
      </w:r>
    </w:p>
    <w:p w:rsidR="003300A6" w:rsidRPr="003300A6" w:rsidRDefault="003300A6" w:rsidP="003300A6">
      <w:pPr>
        <w:rPr>
          <w:sz w:val="20"/>
          <w:szCs w:val="20"/>
        </w:rPr>
      </w:pPr>
    </w:p>
    <w:p w:rsidR="003300A6" w:rsidRPr="003300A6" w:rsidRDefault="003300A6" w:rsidP="003300A6">
      <w:pPr>
        <w:autoSpaceDE w:val="0"/>
        <w:autoSpaceDN w:val="0"/>
        <w:adjustRightInd w:val="0"/>
        <w:rPr>
          <w:sz w:val="20"/>
          <w:szCs w:val="20"/>
        </w:rPr>
      </w:pPr>
      <w:r w:rsidRPr="003300A6">
        <w:rPr>
          <w:sz w:val="20"/>
          <w:szCs w:val="20"/>
        </w:rPr>
        <w:t>2</w:t>
      </w:r>
      <w:r>
        <w:rPr>
          <w:sz w:val="20"/>
          <w:szCs w:val="20"/>
        </w:rPr>
        <w:t>. 3</w:t>
      </w:r>
      <w:r w:rsidRPr="003300A6">
        <w:rPr>
          <w:sz w:val="20"/>
          <w:szCs w:val="20"/>
        </w:rPr>
        <w:t>1 Aralık 2013 tarihli Türk Ticaret Kanunu ve vergi mevzuatı ile belirlenen muhasebe ilkelerine uygun olarak hazırlanmış ve bağımsız denetimden geçmemiş muhasebe kayıtlarına dayanılarak hazırlanan değerleme çalışması çerçevesinde Sermaye Piyasası Kurulu tarafından yayımlanan Seri: VIII No. 45 “Sermaye Piyasasında Uluslarası Değerleme Standartları Hakkında Tebliğ” hükümlerini esas alan değerleme raporundaki değer esas alınarak 61.000.000 TL devir bedeli belirlenen, Şırnak ili Silopi ilçesi dahilinde bulunan İR-2429 no.lu asfaltit sahasına ait rödovans sözleşmesi ve işletme, hakim ortağı Park Holding A.Ş. olan grup şirketi Silopi Elektrik Üretim A.Ş.'ye 31 Mart 2014 tarihi itibarıyla 67.029.300 TL bedelle devredilmiştir. Söz konusu satış bedelinin indirgenmiş tutarı olan 63.956.607 TL üzerinden hesaplanan satış karı 14.101.137 TL olup finansal tablolara yansıtılmıştır. Devir bedeli 2014 yılının sonuna kadar eşit taksitlerle Silopi Elektrik Üretim A.Ş.’den tahsil edilmiştir.</w:t>
      </w:r>
    </w:p>
    <w:p w:rsidR="003300A6" w:rsidRDefault="003300A6" w:rsidP="003300A6">
      <w:pPr>
        <w:rPr>
          <w:sz w:val="20"/>
          <w:szCs w:val="20"/>
        </w:rPr>
      </w:pPr>
    </w:p>
    <w:p w:rsidR="003300A6" w:rsidRDefault="003300A6" w:rsidP="003300A6">
      <w:pPr>
        <w:rPr>
          <w:sz w:val="20"/>
          <w:szCs w:val="20"/>
        </w:rPr>
      </w:pPr>
      <w:r w:rsidRPr="003300A6">
        <w:rPr>
          <w:sz w:val="20"/>
          <w:szCs w:val="20"/>
        </w:rPr>
        <w:t>Genel Kurul’un bilgilerine sunulur.</w:t>
      </w:r>
    </w:p>
    <w:p w:rsidR="006F555C" w:rsidRPr="003300A6" w:rsidRDefault="006F555C" w:rsidP="003300A6">
      <w:pPr>
        <w:rPr>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r w:rsidRPr="00ED4507">
        <w:rPr>
          <w:rFonts w:ascii="Times New Roman" w:hAnsi="Times New Roman" w:cs="Times New Roman"/>
          <w:b/>
          <w:sz w:val="20"/>
          <w:szCs w:val="20"/>
        </w:rPr>
        <w:t>1</w:t>
      </w:r>
      <w:r w:rsidR="006F555C">
        <w:rPr>
          <w:rFonts w:ascii="Times New Roman" w:hAnsi="Times New Roman" w:cs="Times New Roman"/>
          <w:b/>
          <w:sz w:val="20"/>
          <w:szCs w:val="20"/>
        </w:rPr>
        <w:t>3</w:t>
      </w:r>
      <w:r w:rsidRPr="00ED4507">
        <w:rPr>
          <w:rFonts w:ascii="Times New Roman" w:hAnsi="Times New Roman" w:cs="Times New Roman"/>
          <w:b/>
          <w:sz w:val="20"/>
          <w:szCs w:val="20"/>
        </w:rPr>
        <w:t>.</w:t>
      </w:r>
      <w:r>
        <w:rPr>
          <w:rFonts w:ascii="Times New Roman" w:hAnsi="Times New Roman" w:cs="Times New Roman"/>
          <w:b/>
          <w:sz w:val="20"/>
          <w:szCs w:val="20"/>
        </w:rPr>
        <w:t xml:space="preserve">  </w:t>
      </w:r>
      <w:r w:rsidRPr="00ED4507">
        <w:rPr>
          <w:rFonts w:ascii="Times New Roman" w:hAnsi="Times New Roman" w:cs="Times New Roman"/>
          <w:b/>
          <w:sz w:val="20"/>
          <w:szCs w:val="20"/>
        </w:rPr>
        <w:t>Sermaye Piyasası Kurulu düzenlemeleri gereğince, 201</w:t>
      </w:r>
      <w:r w:rsidR="00153DFA">
        <w:rPr>
          <w:rFonts w:ascii="Times New Roman" w:hAnsi="Times New Roman" w:cs="Times New Roman"/>
          <w:b/>
          <w:sz w:val="20"/>
          <w:szCs w:val="20"/>
        </w:rPr>
        <w:t>4</w:t>
      </w:r>
      <w:r w:rsidRPr="00ED4507">
        <w:rPr>
          <w:rFonts w:ascii="Times New Roman" w:hAnsi="Times New Roman" w:cs="Times New Roman"/>
          <w:b/>
          <w:sz w:val="20"/>
          <w:szCs w:val="20"/>
        </w:rPr>
        <w:t xml:space="preserve"> yılı içinde Şirketin 3. Kişiler lehine vermiş olduğu teminat, rehin,</w:t>
      </w:r>
      <w:r w:rsidR="001A7C6D">
        <w:rPr>
          <w:rFonts w:ascii="Times New Roman" w:hAnsi="Times New Roman" w:cs="Times New Roman"/>
          <w:b/>
          <w:sz w:val="20"/>
          <w:szCs w:val="20"/>
        </w:rPr>
        <w:t xml:space="preserve"> i</w:t>
      </w:r>
      <w:r w:rsidRPr="00ED4507">
        <w:rPr>
          <w:rFonts w:ascii="Times New Roman" w:hAnsi="Times New Roman" w:cs="Times New Roman"/>
          <w:b/>
          <w:sz w:val="20"/>
          <w:szCs w:val="20"/>
        </w:rPr>
        <w:t>potek ve kefaletler ile ve elde etmiş oldukları gelir veya menfaat hususunda Genel Kurul'a bilgi verilmesi,</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1A7C6D" w:rsidRPr="001A7C6D" w:rsidRDefault="001A7C6D" w:rsidP="001A7C6D">
      <w:pPr>
        <w:rPr>
          <w:b/>
          <w:sz w:val="20"/>
          <w:szCs w:val="20"/>
        </w:rPr>
      </w:pPr>
      <w:r w:rsidRPr="001A7C6D">
        <w:rPr>
          <w:b/>
          <w:sz w:val="20"/>
          <w:szCs w:val="20"/>
        </w:rPr>
        <w:lastRenderedPageBreak/>
        <w:t xml:space="preserve">3. KİŞİLER LEHİNE ŞİRKET TARAFINDAN VERİLEN TRİ’LER </w:t>
      </w:r>
    </w:p>
    <w:p w:rsidR="001A7C6D" w:rsidRPr="001A7C6D" w:rsidRDefault="001A7C6D" w:rsidP="00C019BC">
      <w:pPr>
        <w:autoSpaceDE w:val="0"/>
        <w:autoSpaceDN w:val="0"/>
        <w:adjustRightInd w:val="0"/>
        <w:rPr>
          <w:sz w:val="20"/>
          <w:szCs w:val="20"/>
        </w:rPr>
      </w:pPr>
    </w:p>
    <w:p w:rsidR="00C019BC" w:rsidRPr="00C019BC" w:rsidRDefault="00C019BC" w:rsidP="00C019BC">
      <w:pPr>
        <w:autoSpaceDE w:val="0"/>
        <w:autoSpaceDN w:val="0"/>
        <w:adjustRightInd w:val="0"/>
        <w:rPr>
          <w:sz w:val="20"/>
          <w:szCs w:val="20"/>
        </w:rPr>
      </w:pPr>
      <w:r w:rsidRPr="00C019BC">
        <w:rPr>
          <w:sz w:val="20"/>
          <w:szCs w:val="20"/>
        </w:rPr>
        <w:t xml:space="preserve">Şirketin 31.12.2014 tarihi itibariyle üçüncü kişiler lehine verdiği teminat, rehin ve ipoteklerin toplam tutarı 7.968.000 TL’dir. Bu tutarın 7.950.000 TL’si ticari faaliyetlerin yürütülmesi amacıyla verilmiş olup, 7.850.000 TL’si satıcılar lehine verilen garanti taahhütnamesi, 100.000 TL’si  Şirket lehine, T.C. Trakya Elektrik Dağıtım A.Ş. Edine İşletme Müdürlüğü’ne hitaben depozito ve güvence bedeli olarak verilen teminat mektubunun alındığı banka ile limitlerinın kulanıldığı  Park Holding A.Ş. arasında  bu mektup karşılığı yapılan gayrı nakdi kredi sözleşmesine dair verilen kefalet tutarıdır. Geri kalan 18.000 TL ise grup şirketi lehine verilen teminat </w:t>
      </w:r>
      <w:bookmarkStart w:id="0" w:name="_GoBack"/>
      <w:bookmarkEnd w:id="0"/>
      <w:r w:rsidRPr="00C019BC">
        <w:rPr>
          <w:sz w:val="20"/>
          <w:szCs w:val="20"/>
        </w:rPr>
        <w:t>tutarıdır ve 08.05.2015 tarihi itibariyle kaldırılmıştır.</w:t>
      </w:r>
    </w:p>
    <w:p w:rsidR="001A7C6D" w:rsidRDefault="001A7C6D" w:rsidP="001A7C6D">
      <w:pPr>
        <w:pStyle w:val="default0"/>
        <w:ind w:left="426" w:right="-142"/>
        <w:jc w:val="both"/>
        <w:rPr>
          <w:color w:val="auto"/>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r w:rsidRPr="00ED4507">
        <w:rPr>
          <w:rFonts w:ascii="Times New Roman" w:hAnsi="Times New Roman" w:cs="Times New Roman"/>
          <w:b/>
          <w:sz w:val="20"/>
          <w:szCs w:val="20"/>
        </w:rPr>
        <w:t>1</w:t>
      </w:r>
      <w:r w:rsidR="006F555C">
        <w:rPr>
          <w:rFonts w:ascii="Times New Roman" w:hAnsi="Times New Roman" w:cs="Times New Roman"/>
          <w:b/>
          <w:sz w:val="20"/>
          <w:szCs w:val="20"/>
        </w:rPr>
        <w:t>4</w:t>
      </w:r>
      <w:r w:rsidRPr="00ED4507">
        <w:rPr>
          <w:rFonts w:ascii="Times New Roman" w:hAnsi="Times New Roman" w:cs="Times New Roman"/>
          <w:b/>
          <w:sz w:val="20"/>
          <w:szCs w:val="20"/>
        </w:rPr>
        <w:t>.</w:t>
      </w:r>
      <w:r>
        <w:rPr>
          <w:rFonts w:ascii="Times New Roman" w:hAnsi="Times New Roman" w:cs="Times New Roman"/>
          <w:b/>
          <w:sz w:val="20"/>
          <w:szCs w:val="20"/>
        </w:rPr>
        <w:t xml:space="preserve"> </w:t>
      </w:r>
      <w:r w:rsidRPr="00ED4507">
        <w:rPr>
          <w:rFonts w:ascii="Times New Roman" w:hAnsi="Times New Roman" w:cs="Times New Roman"/>
          <w:b/>
          <w:sz w:val="20"/>
          <w:szCs w:val="20"/>
        </w:rPr>
        <w:t xml:space="preserve"> Teklif ve temennilerin görüşülmesi ve kapanış.</w:t>
      </w: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C62ADD" w:rsidRPr="00ED4507" w:rsidRDefault="00C62ADD" w:rsidP="00C62ADD">
      <w:pPr>
        <w:pStyle w:val="ListParagraph"/>
        <w:autoSpaceDE w:val="0"/>
        <w:autoSpaceDN w:val="0"/>
        <w:adjustRightInd w:val="0"/>
        <w:ind w:left="0"/>
        <w:contextualSpacing/>
        <w:jc w:val="both"/>
        <w:rPr>
          <w:rFonts w:ascii="Times New Roman" w:hAnsi="Times New Roman" w:cs="Times New Roman"/>
          <w:b/>
          <w:sz w:val="20"/>
          <w:szCs w:val="20"/>
        </w:rPr>
      </w:pPr>
    </w:p>
    <w:p w:rsidR="00097346" w:rsidRDefault="00097346"/>
    <w:sectPr w:rsidR="00097346" w:rsidSect="00097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C5"/>
    <w:multiLevelType w:val="hybridMultilevel"/>
    <w:tmpl w:val="C88C1D7A"/>
    <w:lvl w:ilvl="0" w:tplc="52FC133E">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1492567"/>
    <w:multiLevelType w:val="hybridMultilevel"/>
    <w:tmpl w:val="23A4A9EA"/>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594F0B"/>
    <w:multiLevelType w:val="hybridMultilevel"/>
    <w:tmpl w:val="F06CFA5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62ADD"/>
    <w:rsid w:val="00097346"/>
    <w:rsid w:val="000A7AF9"/>
    <w:rsid w:val="00153DFA"/>
    <w:rsid w:val="001A7C6D"/>
    <w:rsid w:val="0028088D"/>
    <w:rsid w:val="002F6BEB"/>
    <w:rsid w:val="003300A6"/>
    <w:rsid w:val="0051799C"/>
    <w:rsid w:val="005667DF"/>
    <w:rsid w:val="0058650A"/>
    <w:rsid w:val="005B3570"/>
    <w:rsid w:val="00676F44"/>
    <w:rsid w:val="006D74E3"/>
    <w:rsid w:val="006F555C"/>
    <w:rsid w:val="0079227A"/>
    <w:rsid w:val="0083114E"/>
    <w:rsid w:val="00C019BC"/>
    <w:rsid w:val="00C62ADD"/>
    <w:rsid w:val="00F312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D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A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Hyperlink">
    <w:name w:val="Hyperlink"/>
    <w:basedOn w:val="DefaultParagraphFont"/>
    <w:rsid w:val="00C62ADD"/>
    <w:rPr>
      <w:color w:val="0000FF"/>
      <w:u w:val="single"/>
    </w:rPr>
  </w:style>
  <w:style w:type="paragraph" w:styleId="ListParagraph">
    <w:name w:val="List Paragraph"/>
    <w:basedOn w:val="Normal"/>
    <w:qFormat/>
    <w:rsid w:val="00C62ADD"/>
    <w:pPr>
      <w:ind w:left="720"/>
    </w:pPr>
    <w:rPr>
      <w:rFonts w:ascii="Arial" w:eastAsia="Calibri" w:hAnsi="Arial" w:cs="Arial"/>
      <w:sz w:val="22"/>
      <w:szCs w:val="22"/>
    </w:rPr>
  </w:style>
  <w:style w:type="paragraph" w:customStyle="1" w:styleId="ListeParagraf1">
    <w:name w:val="Liste Paragraf1"/>
    <w:basedOn w:val="Normal"/>
    <w:rsid w:val="00C62ADD"/>
    <w:pPr>
      <w:ind w:left="720"/>
      <w:contextualSpacing/>
    </w:pPr>
    <w:rPr>
      <w:rFonts w:ascii="Arial" w:eastAsia="Calibri" w:hAnsi="Arial"/>
      <w:sz w:val="22"/>
      <w:szCs w:val="20"/>
      <w:lang w:eastAsia="en-US"/>
    </w:rPr>
  </w:style>
  <w:style w:type="paragraph" w:customStyle="1" w:styleId="default0">
    <w:name w:val="default"/>
    <w:basedOn w:val="Normal"/>
    <w:rsid w:val="001A7C6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elektrik.com.tr" TargetMode="External"/><Relationship Id="rId5" Type="http://schemas.openxmlformats.org/officeDocument/2006/relationships/hyperlink" Target="http://www.parkelektri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Bilginturan</dc:creator>
  <cp:lastModifiedBy>Yeşim Bilginturan</cp:lastModifiedBy>
  <cp:revision>2</cp:revision>
  <cp:lastPrinted>2015-05-13T11:22:00Z</cp:lastPrinted>
  <dcterms:created xsi:type="dcterms:W3CDTF">2015-05-13T11:23:00Z</dcterms:created>
  <dcterms:modified xsi:type="dcterms:W3CDTF">2015-05-13T11:23:00Z</dcterms:modified>
</cp:coreProperties>
</file>